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B91" w:rsidRDefault="004C3B91" w:rsidP="004C3B91">
      <w:pPr>
        <w:pStyle w:val="StandardWeb"/>
      </w:pPr>
      <w:r>
        <w:t>An das</w:t>
      </w:r>
    </w:p>
    <w:p w:rsidR="004C3B91" w:rsidRDefault="004C3B91" w:rsidP="004C3B91">
      <w:pPr>
        <w:pStyle w:val="StandardWeb"/>
      </w:pPr>
      <w:r>
        <w:t xml:space="preserve">Bezirksgericht </w:t>
      </w:r>
      <w:proofErr w:type="spellStart"/>
      <w:r>
        <w:t>Hietzing</w:t>
      </w:r>
      <w:proofErr w:type="spellEnd"/>
    </w:p>
    <w:p w:rsidR="004C3B91" w:rsidRDefault="004C3B91" w:rsidP="004C3B91">
      <w:pPr>
        <w:pStyle w:val="StandardWeb"/>
      </w:pPr>
      <w:proofErr w:type="spellStart"/>
      <w:r>
        <w:t>Hietzinger</w:t>
      </w:r>
      <w:proofErr w:type="spellEnd"/>
      <w:r>
        <w:t xml:space="preserve"> Kai 1 - 3</w:t>
      </w:r>
    </w:p>
    <w:p w:rsidR="004C3B91" w:rsidRDefault="004C3B91" w:rsidP="004C3B91">
      <w:pPr>
        <w:pStyle w:val="StandardWeb"/>
      </w:pPr>
      <w:r>
        <w:t>1131 Wien</w:t>
      </w:r>
    </w:p>
    <w:p w:rsidR="004C3B91" w:rsidRDefault="004C3B91" w:rsidP="004C3B91">
      <w:pPr>
        <w:pStyle w:val="StandardWeb"/>
      </w:pPr>
    </w:p>
    <w:p w:rsidR="004C3B91" w:rsidRDefault="004C3B91" w:rsidP="004C3B91">
      <w:pPr>
        <w:pStyle w:val="StandardWeb"/>
      </w:pPr>
      <w:r>
        <w:t>Klagende Partei:</w:t>
      </w:r>
    </w:p>
    <w:p w:rsidR="004C3B91" w:rsidRDefault="004C3B91" w:rsidP="004C3B91">
      <w:pPr>
        <w:pStyle w:val="StandardWeb"/>
      </w:pPr>
      <w:r>
        <w:t>Peter Bes, Ang.</w:t>
      </w:r>
    </w:p>
    <w:p w:rsidR="004C3B91" w:rsidRDefault="004C3B91" w:rsidP="004C3B91">
      <w:pPr>
        <w:pStyle w:val="StandardWeb"/>
      </w:pPr>
      <w:r>
        <w:t xml:space="preserve">1130 Wien, </w:t>
      </w:r>
      <w:proofErr w:type="spellStart"/>
      <w:r>
        <w:t>Feldigergasse</w:t>
      </w:r>
      <w:proofErr w:type="spellEnd"/>
      <w:r>
        <w:t xml:space="preserve"> 200/2</w:t>
      </w:r>
    </w:p>
    <w:p w:rsidR="004C3B91" w:rsidRDefault="004C3B91" w:rsidP="004C3B91">
      <w:pPr>
        <w:pStyle w:val="StandardWeb"/>
      </w:pPr>
    </w:p>
    <w:p w:rsidR="004C3B91" w:rsidRDefault="004C3B91" w:rsidP="004C3B91">
      <w:pPr>
        <w:pStyle w:val="StandardWeb"/>
      </w:pPr>
      <w:r>
        <w:t>Beklagte Partei:</w:t>
      </w:r>
    </w:p>
    <w:p w:rsidR="004C3B91" w:rsidRDefault="004C3B91" w:rsidP="004C3B91">
      <w:pPr>
        <w:pStyle w:val="StandardWeb"/>
      </w:pPr>
      <w:r>
        <w:t>Gerhard Hirsch, Kaufmann,</w:t>
      </w:r>
    </w:p>
    <w:p w:rsidR="004C3B91" w:rsidRDefault="004C3B91" w:rsidP="004C3B91">
      <w:pPr>
        <w:pStyle w:val="StandardWeb"/>
      </w:pPr>
      <w:r>
        <w:t xml:space="preserve">1130 Wien, </w:t>
      </w:r>
      <w:proofErr w:type="spellStart"/>
      <w:r>
        <w:t>Feldigergasse</w:t>
      </w:r>
      <w:proofErr w:type="spellEnd"/>
      <w:r>
        <w:t xml:space="preserve"> 200/4</w:t>
      </w:r>
    </w:p>
    <w:p w:rsidR="004C3B91" w:rsidRDefault="004C3B91" w:rsidP="004C3B91">
      <w:pPr>
        <w:pStyle w:val="StandardWeb"/>
      </w:pPr>
    </w:p>
    <w:p w:rsidR="004C3B91" w:rsidRDefault="004C3B91" w:rsidP="004C3B91">
      <w:pPr>
        <w:pStyle w:val="StandardWeb"/>
      </w:pPr>
      <w:r>
        <w:t>wegen:</w:t>
      </w:r>
    </w:p>
    <w:p w:rsidR="004C3B91" w:rsidRDefault="004C3B91" w:rsidP="004C3B91">
      <w:pPr>
        <w:pStyle w:val="StandardWeb"/>
      </w:pPr>
      <w:r>
        <w:t>Beseitigung und Unterlassung</w:t>
      </w:r>
    </w:p>
    <w:p w:rsidR="004C3B91" w:rsidRDefault="004C3B91" w:rsidP="004C3B91">
      <w:pPr>
        <w:pStyle w:val="StandardWeb"/>
      </w:pPr>
      <w:r>
        <w:t>Streitwert für RATG € 7.000,-</w:t>
      </w:r>
    </w:p>
    <w:p w:rsidR="004C3B91" w:rsidRDefault="004C3B91" w:rsidP="004C3B91">
      <w:pPr>
        <w:pStyle w:val="StandardWeb"/>
      </w:pPr>
    </w:p>
    <w:p w:rsidR="004C3B91" w:rsidRDefault="004C3B91" w:rsidP="004C3B91">
      <w:pPr>
        <w:pStyle w:val="StandardWeb"/>
        <w:jc w:val="center"/>
      </w:pPr>
      <w:r>
        <w:t>KLAGE</w:t>
      </w:r>
    </w:p>
    <w:p w:rsidR="004C3B91" w:rsidRDefault="004C3B91" w:rsidP="004C3B91">
      <w:pPr>
        <w:pStyle w:val="StandardWeb"/>
        <w:jc w:val="center"/>
      </w:pPr>
    </w:p>
    <w:p w:rsidR="004C3B91" w:rsidRDefault="004C3B91" w:rsidP="004C3B91">
      <w:pPr>
        <w:pStyle w:val="StandardWeb"/>
        <w:jc w:val="right"/>
      </w:pPr>
      <w:r>
        <w:t>2-fach</w:t>
      </w:r>
    </w:p>
    <w:p w:rsidR="004C3B91" w:rsidRDefault="004C3B91" w:rsidP="004C3B91">
      <w:pPr>
        <w:pStyle w:val="StandardWeb"/>
        <w:jc w:val="right"/>
      </w:pPr>
      <w:r>
        <w:t>1 HS</w:t>
      </w:r>
    </w:p>
    <w:p w:rsidR="004C3B91" w:rsidRDefault="004C3B91">
      <w:pPr>
        <w:rPr>
          <w:rFonts w:ascii="Times New Roman" w:eastAsia="Times New Roman" w:hAnsi="Times New Roman" w:cs="Times New Roman"/>
          <w:sz w:val="24"/>
          <w:szCs w:val="24"/>
          <w:lang w:eastAsia="de-AT"/>
        </w:rPr>
      </w:pPr>
      <w:r>
        <w:br w:type="page"/>
      </w:r>
    </w:p>
    <w:p w:rsidR="004C3B91" w:rsidRDefault="004C3B91" w:rsidP="004C3B91">
      <w:pPr>
        <w:pStyle w:val="StandardWeb"/>
      </w:pPr>
      <w:r>
        <w:lastRenderedPageBreak/>
        <w:t xml:space="preserve">Der Kläger ist Eigentümer von 76/1416 Anteilen am Hause </w:t>
      </w:r>
      <w:proofErr w:type="spellStart"/>
      <w:r>
        <w:t>Feldigergasse</w:t>
      </w:r>
      <w:proofErr w:type="spellEnd"/>
      <w:r>
        <w:t xml:space="preserve"> 200, 1130 Wien, mit denen untrennbar das Wohnungseigentum an der Wohnung Top </w:t>
      </w:r>
      <w:proofErr w:type="spellStart"/>
      <w:r>
        <w:t>Nr</w:t>
      </w:r>
      <w:proofErr w:type="spellEnd"/>
      <w:r>
        <w:t xml:space="preserve"> 2 verbunden ist. Die beklagte Partei ist Eigentümer von 72/1416 Anteilen am Hause </w:t>
      </w:r>
      <w:proofErr w:type="spellStart"/>
      <w:r>
        <w:t>Feldigergasse</w:t>
      </w:r>
      <w:proofErr w:type="spellEnd"/>
      <w:r>
        <w:t xml:space="preserve"> 200, 1130 Wien, mit denen untrennbar das Wohnungseigentum an der Wohnung Top </w:t>
      </w:r>
      <w:proofErr w:type="spellStart"/>
      <w:r>
        <w:t>Nr</w:t>
      </w:r>
      <w:proofErr w:type="spellEnd"/>
      <w:r>
        <w:t xml:space="preserve"> 4 verbunden ist.</w:t>
      </w:r>
    </w:p>
    <w:p w:rsidR="004C3B91" w:rsidRDefault="004C3B91" w:rsidP="004C3B91">
      <w:pPr>
        <w:pStyle w:val="StandardWeb"/>
      </w:pPr>
    </w:p>
    <w:p w:rsidR="004C3B91" w:rsidRDefault="004C3B91" w:rsidP="004C3B91">
      <w:pPr>
        <w:pStyle w:val="StandardWeb"/>
      </w:pPr>
      <w:r>
        <w:t>Beweis: offenes Grundbuch sowie PV der Streitteile</w:t>
      </w:r>
    </w:p>
    <w:p w:rsidR="004C3B91" w:rsidRDefault="004C3B91" w:rsidP="004C3B91">
      <w:pPr>
        <w:pStyle w:val="StandardWeb"/>
      </w:pPr>
    </w:p>
    <w:p w:rsidR="004C3B91" w:rsidRDefault="004C3B91" w:rsidP="004C3B91">
      <w:pPr>
        <w:pStyle w:val="StandardWeb"/>
      </w:pPr>
      <w:r>
        <w:t xml:space="preserve">Die beklagte Partei hat ohne entsprechende Benützungsregelung nach § 17 WEG 2002 und auch ohne Beschlussfassung nach § 29 </w:t>
      </w:r>
      <w:proofErr w:type="spellStart"/>
      <w:r>
        <w:t>Abs</w:t>
      </w:r>
      <w:proofErr w:type="spellEnd"/>
      <w:r>
        <w:t xml:space="preserve"> 1 WEG 2002 im gemeinsam zu benutzenden linken hinteren Teil des Gartens eine Sandkiste aufgestellt und </w:t>
      </w:r>
      <w:r w:rsidR="00186F35">
        <w:t xml:space="preserve">jetzt </w:t>
      </w:r>
      <w:r>
        <w:t xml:space="preserve">benützt der minderjährige Sohn des Beklagten diese Sandkiste fast jeden Nachmittag zum Spielen mit Sandspielgeräten. Zu dem Sohn des Beklagten gesellen sich meist Spielgefährten, die nicht einmal aus der Wohnhausanlage stammen und </w:t>
      </w:r>
      <w:r w:rsidR="00186F35">
        <w:t xml:space="preserve">es </w:t>
      </w:r>
      <w:r>
        <w:t>wird durch die spielenden Kinder ein derartiger Lärm erregt, dass der Kläger seine auf den Garten gerichteten Fenster im ersten Stock des Hauses nicht mehr öffnen kann, ohne dass dadurch im Inneren seiner Wohnung eine unzumutbare Lärmerregung entsteht.</w:t>
      </w:r>
    </w:p>
    <w:p w:rsidR="004C3B91" w:rsidRDefault="004C3B91" w:rsidP="004C3B91">
      <w:pPr>
        <w:pStyle w:val="StandardWeb"/>
      </w:pPr>
    </w:p>
    <w:p w:rsidR="004C3B91" w:rsidRDefault="004C3B91" w:rsidP="004C3B91">
      <w:pPr>
        <w:pStyle w:val="StandardWeb"/>
      </w:pPr>
      <w:r>
        <w:t>Beweis: PV, durchzuführender Ortsaugenschein</w:t>
      </w:r>
    </w:p>
    <w:p w:rsidR="004C3B91" w:rsidRDefault="004C3B91" w:rsidP="004C3B91">
      <w:pPr>
        <w:pStyle w:val="StandardWeb"/>
      </w:pPr>
    </w:p>
    <w:p w:rsidR="004C3B91" w:rsidRDefault="004C3B91" w:rsidP="004C3B91">
      <w:pPr>
        <w:pStyle w:val="StandardWeb"/>
      </w:pPr>
      <w:r>
        <w:t>Den Wohnungseigentümern steht an sämtlichen der allgemeinen Benützung dienenden Liegenschaftsteilen im Hinblick auf die zur Anwendung gelangende Regel des § 828 ABGB das Gebrauchsrecht zu, das nur im Mitgebrauch der übrigen Wohnungseigentümer seine Schranke findet. Es sind daher im vorliegenden Fall alle Wohnungseigentümer berechtigt, den fraglichen Teil des Gartens zu benützen. Das Setzen von Gebrauchshandlungen am gemeinschaftlichen Gut ist nur dann als Maßnahme der ordentlichen Verwaltung zu qualifizieren, wenn dadurch der Mitgebrauch der übrigen Wohnungseigentümer keine Einschränkung erfährt (</w:t>
      </w:r>
      <w:proofErr w:type="spellStart"/>
      <w:r>
        <w:t>vgl</w:t>
      </w:r>
      <w:proofErr w:type="spellEnd"/>
      <w:r>
        <w:t xml:space="preserve"> </w:t>
      </w:r>
      <w:proofErr w:type="spellStart"/>
      <w:r w:rsidRPr="00186F35">
        <w:rPr>
          <w:i/>
        </w:rPr>
        <w:t>Illedits</w:t>
      </w:r>
      <w:proofErr w:type="spellEnd"/>
      <w:r>
        <w:t>, Das Wohnungseigentum</w:t>
      </w:r>
      <w:r w:rsidR="00186F35" w:rsidRPr="00186F35">
        <w:rPr>
          <w:vertAlign w:val="superscript"/>
        </w:rPr>
        <w:t>4</w:t>
      </w:r>
      <w:r w:rsidR="00186F35">
        <w:t xml:space="preserve">, </w:t>
      </w:r>
      <w:proofErr w:type="spellStart"/>
      <w:r>
        <w:t>Rz</w:t>
      </w:r>
      <w:proofErr w:type="spellEnd"/>
      <w:r>
        <w:t xml:space="preserve"> 609 </w:t>
      </w:r>
      <w:proofErr w:type="spellStart"/>
      <w:r>
        <w:t>mwN</w:t>
      </w:r>
      <w:proofErr w:type="spellEnd"/>
      <w:r>
        <w:t xml:space="preserve"> </w:t>
      </w:r>
      <w:proofErr w:type="spellStart"/>
      <w:r>
        <w:t>ebd</w:t>
      </w:r>
      <w:proofErr w:type="spellEnd"/>
      <w:r>
        <w:t>). Durch das Aufstellen einer Sandkiste durch den Beklagten hat sich dieser ein ihm nicht zustehendes (Allein-)Gebrauchsrecht an einem Teil des Gartens angemaßt und dadurch in das Miteigentum der übrigen Wohnungseigentümer (daher auch des Klägers) eingegriffen (</w:t>
      </w:r>
      <w:proofErr w:type="spellStart"/>
      <w:r>
        <w:t>EvBl</w:t>
      </w:r>
      <w:proofErr w:type="spellEnd"/>
      <w:r>
        <w:t xml:space="preserve"> 1980/44 </w:t>
      </w:r>
      <w:proofErr w:type="spellStart"/>
      <w:r>
        <w:t>mwN</w:t>
      </w:r>
      <w:proofErr w:type="spellEnd"/>
      <w:r>
        <w:t xml:space="preserve"> </w:t>
      </w:r>
      <w:proofErr w:type="spellStart"/>
      <w:r>
        <w:t>ebd</w:t>
      </w:r>
      <w:proofErr w:type="spellEnd"/>
      <w:r>
        <w:t>).</w:t>
      </w:r>
    </w:p>
    <w:p w:rsidR="004C3B91" w:rsidRDefault="004C3B91" w:rsidP="004C3B91">
      <w:pPr>
        <w:pStyle w:val="StandardWeb"/>
      </w:pPr>
    </w:p>
    <w:p w:rsidR="004C3B91" w:rsidRDefault="004C3B91" w:rsidP="004C3B91">
      <w:pPr>
        <w:pStyle w:val="StandardWeb"/>
      </w:pPr>
      <w:r>
        <w:t>Mangels Zustimmung aller übrigen Miteigentümer oder einer Entscheidung des Außerstreitrichters nach § 17 WEG 2002 ist ein derartiger Eingriff in das Miteigentum der Miteigentümer an den der gemeinsamen Benützung dienenden Liegenschaftsanteilen eigenmächtig und unzulässig und kann auch vom Minderheitseigentümer mit der Eigentumsfreiheitsklage nach § 523 ABGB (</w:t>
      </w:r>
      <w:proofErr w:type="spellStart"/>
      <w:r>
        <w:t>actio</w:t>
      </w:r>
      <w:proofErr w:type="spellEnd"/>
      <w:r>
        <w:t xml:space="preserve"> </w:t>
      </w:r>
      <w:proofErr w:type="spellStart"/>
      <w:r>
        <w:t>negatoria</w:t>
      </w:r>
      <w:proofErr w:type="spellEnd"/>
      <w:r>
        <w:t xml:space="preserve">) abgewehrt werden. Durch das Aufstellen einer Sandkiste </w:t>
      </w:r>
      <w:proofErr w:type="spellStart"/>
      <w:r>
        <w:t>maßte</w:t>
      </w:r>
      <w:proofErr w:type="spellEnd"/>
      <w:r>
        <w:t xml:space="preserve"> sich der Beklagte ein ihm nicht zustehendes Gebrauchsrecht an einem Teil der Rasenfläche an und griff dadurch in das Miteigentum der übrigen Wohnungseigentümer ein. Es muss somit dahingestellt bleiben, ob das Aufstellen einer </w:t>
      </w:r>
      <w:r>
        <w:lastRenderedPageBreak/>
        <w:t>Sandkiste zweckmäßig ist und im Wesentlichen den Interessen aller Miteigentümer dienen könnte. Fingiert man, dass sich die überwiegende Mehrheit der Miteigentümer für diese Maßnahme ausgesprochen hat, kann trotzdem wegen des Fehlens der Einstimmigkeit oder der die Einstimmigkeit ersetzenden Beschlussfassung durch den Außerstreitrichter nach § 17 WEG 2002 auch nur einer der Miteigentümer die Entfernung der Sandkiste begehren (</w:t>
      </w:r>
      <w:proofErr w:type="spellStart"/>
      <w:r>
        <w:t>vgl</w:t>
      </w:r>
      <w:proofErr w:type="spellEnd"/>
      <w:r>
        <w:t xml:space="preserve"> LG f ZRS Wien 5.</w:t>
      </w:r>
      <w:r w:rsidR="00186F35">
        <w:t xml:space="preserve"> </w:t>
      </w:r>
      <w:r>
        <w:t>7.</w:t>
      </w:r>
      <w:r w:rsidR="00186F35">
        <w:t xml:space="preserve"> </w:t>
      </w:r>
      <w:r>
        <w:t>1994, 45 R 227/94 betreffend die Errichtung einer Wäschespinne sowie LG f ZRS Wien 12.</w:t>
      </w:r>
      <w:r w:rsidR="00186F35">
        <w:t xml:space="preserve"> </w:t>
      </w:r>
      <w:r>
        <w:t>2.</w:t>
      </w:r>
      <w:r w:rsidR="00186F35">
        <w:t xml:space="preserve"> </w:t>
      </w:r>
      <w:bookmarkStart w:id="0" w:name="_GoBack"/>
      <w:bookmarkEnd w:id="0"/>
      <w:r>
        <w:t>1985, GZ: 45 R 20/85).</w:t>
      </w:r>
    </w:p>
    <w:p w:rsidR="004C3B91" w:rsidRDefault="004C3B91" w:rsidP="004C3B91">
      <w:pPr>
        <w:pStyle w:val="StandardWeb"/>
      </w:pPr>
    </w:p>
    <w:p w:rsidR="004C3B91" w:rsidRDefault="004C3B91" w:rsidP="004C3B91">
      <w:pPr>
        <w:pStyle w:val="StandardWeb"/>
      </w:pPr>
      <w:r>
        <w:t xml:space="preserve">Selbst wenn man das Aufstellen einer Sandkiste dem Aufstellen einer allen Wohnungseigentümern zur Verfügung stehenden Wäschespinne im gemeinsamen Garten gleichstellt, ändert sich im vorliegenden Fall an der rechtlichen Situation nichts. Die gesetzte Maßnahme geht </w:t>
      </w:r>
      <w:proofErr w:type="spellStart"/>
      <w:r>
        <w:t>diesfalls</w:t>
      </w:r>
      <w:proofErr w:type="spellEnd"/>
      <w:r>
        <w:t xml:space="preserve"> über eine bloße Widmungsänderung </w:t>
      </w:r>
      <w:proofErr w:type="spellStart"/>
      <w:r>
        <w:t>bzw</w:t>
      </w:r>
      <w:proofErr w:type="spellEnd"/>
      <w:r>
        <w:t xml:space="preserve"> Benützungsregelung des Gartens hinaus und ist daher der Veränderung </w:t>
      </w:r>
      <w:proofErr w:type="spellStart"/>
      <w:r>
        <w:t>bzw</w:t>
      </w:r>
      <w:proofErr w:type="spellEnd"/>
      <w:r>
        <w:t xml:space="preserve"> Verbesserung gemeinsamer Teile und Anlagen der Liegenschaft </w:t>
      </w:r>
      <w:proofErr w:type="spellStart"/>
      <w:r>
        <w:t>iSd</w:t>
      </w:r>
      <w:proofErr w:type="spellEnd"/>
      <w:r>
        <w:t xml:space="preserve"> § 29 </w:t>
      </w:r>
      <w:proofErr w:type="spellStart"/>
      <w:r>
        <w:t>Abs</w:t>
      </w:r>
      <w:proofErr w:type="spellEnd"/>
      <w:r>
        <w:t xml:space="preserve"> 1 WEG 2002 zu unterstellen. Das </w:t>
      </w:r>
      <w:proofErr w:type="spellStart"/>
      <w:r>
        <w:t>Auftstellen</w:t>
      </w:r>
      <w:proofErr w:type="spellEnd"/>
      <w:r>
        <w:t xml:space="preserve"> einer Sandkiste im gemeinsamen Garten setzt sohin einen rechtswirksamen </w:t>
      </w:r>
      <w:proofErr w:type="spellStart"/>
      <w:r>
        <w:t>Mehrheitsbeschluß</w:t>
      </w:r>
      <w:proofErr w:type="spellEnd"/>
      <w:r>
        <w:t xml:space="preserve"> nach § 29 </w:t>
      </w:r>
      <w:proofErr w:type="spellStart"/>
      <w:r>
        <w:t>Abs</w:t>
      </w:r>
      <w:proofErr w:type="spellEnd"/>
      <w:r>
        <w:t xml:space="preserve"> 1 WEG 2002 voraus, der im gegenständlichen Fall nicht gegeben ist (es wurde überhaupt kein Beschluss, auch kein Umlaufbeschluss, über die Errichtung einer Sandkiste im gemeinsamen Garten der Anlage gefasst), weshalb auch nur ein einziger Miteigentümer die Entfernung der Sandkiste begehren kann (</w:t>
      </w:r>
      <w:proofErr w:type="spellStart"/>
      <w:r>
        <w:t>vgl</w:t>
      </w:r>
      <w:proofErr w:type="spellEnd"/>
      <w:r>
        <w:t xml:space="preserve"> OGH 30.9.1997, 5 Ob 369/97v, veröffentlicht in </w:t>
      </w:r>
      <w:proofErr w:type="spellStart"/>
      <w:r>
        <w:t>MietSlg</w:t>
      </w:r>
      <w:proofErr w:type="spellEnd"/>
      <w:r>
        <w:t xml:space="preserve"> 49.517).</w:t>
      </w:r>
    </w:p>
    <w:p w:rsidR="004C3B91" w:rsidRDefault="004C3B91" w:rsidP="004C3B91">
      <w:pPr>
        <w:pStyle w:val="StandardWeb"/>
      </w:pPr>
    </w:p>
    <w:p w:rsidR="004C3B91" w:rsidRDefault="004C3B91" w:rsidP="004C3B91">
      <w:pPr>
        <w:pStyle w:val="StandardWeb"/>
      </w:pPr>
      <w:r>
        <w:t>Trotz mehrfacher Aufforderung zur Entfernung dieser Sandkiste durch den Kläger und die Hausverwaltung ist der Beklagte nicht bereit, die vereinbarungswidrige Benützung der gegenständlichen Gartenfläche aufzugeben und die Sandkiste zu entfernen.</w:t>
      </w:r>
    </w:p>
    <w:p w:rsidR="004C3B91" w:rsidRDefault="004C3B91" w:rsidP="004C3B91">
      <w:pPr>
        <w:pStyle w:val="StandardWeb"/>
      </w:pPr>
    </w:p>
    <w:p w:rsidR="004C3B91" w:rsidRDefault="004C3B91" w:rsidP="004C3B91">
      <w:pPr>
        <w:pStyle w:val="StandardWeb"/>
      </w:pPr>
      <w:r>
        <w:t>Beweis: vorzulegende Korrespondenz, PV</w:t>
      </w:r>
    </w:p>
    <w:p w:rsidR="004C3B91" w:rsidRDefault="004C3B91" w:rsidP="004C3B91">
      <w:pPr>
        <w:pStyle w:val="StandardWeb"/>
      </w:pPr>
    </w:p>
    <w:p w:rsidR="004C3B91" w:rsidRDefault="004C3B91" w:rsidP="004C3B91">
      <w:pPr>
        <w:pStyle w:val="StandardWeb"/>
      </w:pPr>
      <w:r>
        <w:t>Die klagende Partei bewertet das Entfernungs- und Unterlassungsbegehren insgesamt mit € 7.000,- (je € 3.500,-).</w:t>
      </w:r>
    </w:p>
    <w:p w:rsidR="004C3B91" w:rsidRDefault="004C3B91">
      <w:pPr>
        <w:rPr>
          <w:rFonts w:ascii="Times New Roman" w:eastAsia="Times New Roman" w:hAnsi="Times New Roman" w:cs="Times New Roman"/>
          <w:sz w:val="24"/>
          <w:szCs w:val="24"/>
          <w:lang w:eastAsia="de-AT"/>
        </w:rPr>
      </w:pPr>
      <w:r>
        <w:br w:type="page"/>
      </w:r>
    </w:p>
    <w:p w:rsidR="004C3B91" w:rsidRDefault="004C3B91" w:rsidP="004C3B91">
      <w:pPr>
        <w:pStyle w:val="StandardWeb"/>
      </w:pPr>
      <w:r>
        <w:lastRenderedPageBreak/>
        <w:t>Mangels Einigung in Güte beantragt der Kläger zu fällen nachstehendes</w:t>
      </w:r>
    </w:p>
    <w:p w:rsidR="004C3B91" w:rsidRDefault="004C3B91" w:rsidP="004C3B91">
      <w:pPr>
        <w:pStyle w:val="StandardWeb"/>
      </w:pPr>
    </w:p>
    <w:p w:rsidR="004C3B91" w:rsidRDefault="004C3B91" w:rsidP="004C3B91">
      <w:pPr>
        <w:pStyle w:val="StandardWeb"/>
        <w:jc w:val="center"/>
      </w:pPr>
      <w:r>
        <w:t>Urteil</w:t>
      </w:r>
    </w:p>
    <w:p w:rsidR="004C3B91" w:rsidRDefault="004C3B91" w:rsidP="004C3B91">
      <w:pPr>
        <w:pStyle w:val="StandardWeb"/>
        <w:jc w:val="center"/>
      </w:pPr>
    </w:p>
    <w:p w:rsidR="004C3B91" w:rsidRDefault="004C3B91" w:rsidP="004C3B91">
      <w:pPr>
        <w:pStyle w:val="StandardWeb"/>
      </w:pPr>
    </w:p>
    <w:p w:rsidR="004C3B91" w:rsidRDefault="004C3B91" w:rsidP="004C3B91">
      <w:pPr>
        <w:pStyle w:val="StandardWeb"/>
      </w:pPr>
      <w:r>
        <w:t xml:space="preserve">1. Die beklagte Partei ist schuldig, binnen 14 Tagen bei sonstiger Exekution die von ihr im linken hinteren Teil des Gartens des Hauses 1130 Wien, </w:t>
      </w:r>
      <w:proofErr w:type="spellStart"/>
      <w:r>
        <w:t>Feldigergasse</w:t>
      </w:r>
      <w:proofErr w:type="spellEnd"/>
      <w:r>
        <w:t xml:space="preserve"> 200, aufgestellte Sandkiste zu entfernen und es ab sofort zu unterlassen, in diesem Bereich des Gartens Sandspielkisten oder ähnliche Einrichtungen aufzustellen.</w:t>
      </w:r>
    </w:p>
    <w:p w:rsidR="004C3B91" w:rsidRDefault="004C3B91" w:rsidP="004C3B91">
      <w:pPr>
        <w:pStyle w:val="StandardWeb"/>
      </w:pPr>
      <w:r>
        <w:t xml:space="preserve">2. Die beklagte Partei ist </w:t>
      </w:r>
      <w:proofErr w:type="spellStart"/>
      <w:r>
        <w:t>weiters</w:t>
      </w:r>
      <w:proofErr w:type="spellEnd"/>
      <w:r>
        <w:t xml:space="preserve"> schuldig, der klagenden Partei binnen 14 Tagen bei sonstiger Exekution die Kosten dieses Rechtsstreites zu ersetzen.</w:t>
      </w:r>
    </w:p>
    <w:p w:rsidR="004C3B91" w:rsidRDefault="004C3B91" w:rsidP="004C3B91">
      <w:pPr>
        <w:pStyle w:val="StandardWeb"/>
      </w:pPr>
    </w:p>
    <w:p w:rsidR="004C3B91" w:rsidRDefault="004C3B91" w:rsidP="004C3B91">
      <w:pPr>
        <w:pStyle w:val="StandardWeb"/>
      </w:pPr>
      <w:r>
        <w:t>Wien, am 30.</w:t>
      </w:r>
      <w:r>
        <w:t> </w:t>
      </w:r>
      <w:r>
        <w:t>11.</w:t>
      </w:r>
      <w:r>
        <w:t> </w:t>
      </w:r>
      <w:r>
        <w:t>2016                                                                                                                                                                                                                                                                         Peter Bes</w:t>
      </w:r>
    </w:p>
    <w:p w:rsidR="004C3B91" w:rsidRDefault="004C3B91" w:rsidP="004C3B91">
      <w:pPr>
        <w:pStyle w:val="StandardWeb"/>
      </w:pPr>
    </w:p>
    <w:p w:rsidR="004C3B91" w:rsidRDefault="004C3B91" w:rsidP="004C3B91">
      <w:pPr>
        <w:pStyle w:val="StandardWeb"/>
      </w:pPr>
    </w:p>
    <w:p w:rsidR="004C3B91" w:rsidRDefault="004C3B91" w:rsidP="004C3B91">
      <w:pPr>
        <w:pStyle w:val="StandardWeb"/>
        <w:jc w:val="right"/>
      </w:pPr>
    </w:p>
    <w:p w:rsidR="004C3B91" w:rsidRDefault="004C3B91" w:rsidP="004C3B91">
      <w:pPr>
        <w:pStyle w:val="StandardWeb"/>
        <w:jc w:val="right"/>
      </w:pPr>
    </w:p>
    <w:p w:rsidR="004E2721" w:rsidRDefault="004E2721"/>
    <w:sectPr w:rsidR="004E27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91"/>
    <w:rsid w:val="00186F35"/>
    <w:rsid w:val="004C3B91"/>
    <w:rsid w:val="004E27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6D19"/>
  <w15:chartTrackingRefBased/>
  <w15:docId w15:val="{BF124CF6-6D6A-4FC7-ABD6-0A27B007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C3B91"/>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8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5053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dc:creator>
  <cp:keywords/>
  <dc:description/>
  <cp:lastModifiedBy>irmi</cp:lastModifiedBy>
  <cp:revision>2</cp:revision>
  <dcterms:created xsi:type="dcterms:W3CDTF">2017-02-22T19:51:00Z</dcterms:created>
  <dcterms:modified xsi:type="dcterms:W3CDTF">2017-02-22T19:56:00Z</dcterms:modified>
</cp:coreProperties>
</file>