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F798" w14:textId="6BC57E44" w:rsidR="00A61E37" w:rsidRDefault="005369F2" w:rsidP="005369F2">
      <w:pPr>
        <w:pStyle w:val="berschrift1"/>
        <w:numPr>
          <w:ilvl w:val="0"/>
          <w:numId w:val="0"/>
        </w:numPr>
      </w:pPr>
      <w:r>
        <w:t xml:space="preserve">7. </w:t>
      </w:r>
      <w:r w:rsidR="00D3623A">
        <w:t>Errichtungserklärung (1-Personen-GmbH)</w:t>
      </w:r>
    </w:p>
    <w:p w14:paraId="5E225BD5" w14:textId="708D9339" w:rsidR="00A61E37" w:rsidRDefault="00D3623A">
      <w:pPr>
        <w:pStyle w:val="berschriftVertragsname11Pktzentrfett"/>
      </w:pPr>
      <w:r>
        <w:rPr>
          <w:rStyle w:val="Fett"/>
          <w:b/>
          <w:bCs/>
        </w:rPr>
        <w:t xml:space="preserve">Erklärung über die Errichtung einer Gesellschaft mit </w:t>
      </w:r>
      <w:r>
        <w:rPr>
          <w:rStyle w:val="Fett"/>
          <w:b/>
          <w:bCs/>
        </w:rPr>
        <w:br/>
        <w:t>beschränkter Haftung</w:t>
      </w:r>
    </w:p>
    <w:p w14:paraId="6729DD82" w14:textId="77777777" w:rsidR="00A61E37" w:rsidRDefault="00D3623A">
      <w:pPr>
        <w:pStyle w:val="Body-zentriert12-Abst"/>
        <w:rPr>
          <w:rStyle w:val="Fett"/>
        </w:rPr>
      </w:pPr>
      <w:r>
        <w:rPr>
          <w:rStyle w:val="Fett"/>
        </w:rPr>
        <w:t>Präambel</w:t>
      </w:r>
    </w:p>
    <w:p w14:paraId="4C23A9FB"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0F3CCF4A" w14:textId="0255F476" w:rsidR="00A61E37" w:rsidRDefault="00D3623A">
      <w:pPr>
        <w:pStyle w:val="berschriftVertragsname11Pktzentrfett"/>
      </w:pPr>
      <w:r>
        <w:rPr>
          <w:rStyle w:val="Fett"/>
          <w:b/>
          <w:bCs/>
        </w:rPr>
        <w:t>1.</w:t>
      </w:r>
      <w:r>
        <w:rPr>
          <w:rStyle w:val="Fett"/>
          <w:b/>
          <w:bCs/>
        </w:rPr>
        <w:t> </w:t>
      </w:r>
      <w:r>
        <w:rPr>
          <w:rStyle w:val="Fett"/>
          <w:b/>
          <w:bCs/>
        </w:rPr>
        <w:t>Firma und Sitz der Gesellschaft</w:t>
      </w:r>
    </w:p>
    <w:p w14:paraId="2AE8F9D7" w14:textId="77777777" w:rsidR="00A61E37" w:rsidRDefault="00D3623A">
      <w:r>
        <w:t>Die Firma der Gesellschaft lautet:</w:t>
      </w:r>
    </w:p>
    <w:p w14:paraId="46C56A2C" w14:textId="369004FF" w:rsidR="00A61E37" w:rsidRDefault="00D3623A">
      <w:pPr>
        <w:pStyle w:val="Body-zentriertAbst"/>
      </w:pPr>
      <w:r>
        <w:rPr>
          <w:rStyle w:val="Fett"/>
        </w:rPr>
        <w:t>Muster GmbH</w:t>
      </w:r>
    </w:p>
    <w:p w14:paraId="1E86F540" w14:textId="77777777" w:rsidR="00A61E37" w:rsidRDefault="00D3623A">
      <w:pPr>
        <w:pStyle w:val="Body-oE"/>
      </w:pPr>
      <w:r>
        <w:t>Die Gesellschaft hat ihren Sitz in der politischen Gemeinde</w:t>
      </w:r>
    </w:p>
    <w:p w14:paraId="3A7B54DE" w14:textId="4E1C71F8" w:rsidR="00A61E37" w:rsidRDefault="00D3623A">
      <w:pPr>
        <w:pStyle w:val="Body-zentriertAbst"/>
      </w:pPr>
      <w:r>
        <w:t>Wien</w:t>
      </w:r>
    </w:p>
    <w:p w14:paraId="2873A077" w14:textId="77777777" w:rsidR="00A61E37" w:rsidRDefault="00D3623A">
      <w:pPr>
        <w:pStyle w:val="Body-oE"/>
      </w:pPr>
      <w:r>
        <w:t>Die Gesellschaft ist berechtigt, im In- und Ausland Zweigniederlassungen sowie Betriebsstätten zu errichten.</w:t>
      </w:r>
    </w:p>
    <w:p w14:paraId="76DFCA92" w14:textId="344D24F1" w:rsidR="00A61E37" w:rsidRDefault="00D3623A">
      <w:pPr>
        <w:pStyle w:val="berschriftVertragsname11Pktzentrfett"/>
      </w:pPr>
      <w:r>
        <w:rPr>
          <w:rStyle w:val="Fett"/>
          <w:b/>
          <w:bCs/>
        </w:rPr>
        <w:t>2.</w:t>
      </w:r>
      <w:r>
        <w:rPr>
          <w:rStyle w:val="Fett"/>
          <w:b/>
          <w:bCs/>
        </w:rPr>
        <w:t> </w:t>
      </w:r>
      <w:r>
        <w:rPr>
          <w:rStyle w:val="Fett"/>
          <w:b/>
          <w:bCs/>
        </w:rPr>
        <w:t>Gegenstand des Unternehmens</w:t>
      </w:r>
    </w:p>
    <w:p w14:paraId="026B3EF9" w14:textId="77777777" w:rsidR="00A61E37" w:rsidRDefault="00D3623A">
      <w:r>
        <w:t>ist</w:t>
      </w:r>
    </w:p>
    <w:p w14:paraId="675B9AB7" w14:textId="77777777" w:rsidR="00A61E37" w:rsidRDefault="00D3623A">
      <w:pPr>
        <w:pStyle w:val="berschriftZwischenueberschrift"/>
        <w:rPr>
          <w:rStyle w:val="Kursiv"/>
        </w:rPr>
      </w:pPr>
      <w:r>
        <w:rPr>
          <w:rStyle w:val="Kursiv"/>
        </w:rPr>
        <w:t>2.1</w:t>
      </w:r>
    </w:p>
    <w:p w14:paraId="404B4A88" w14:textId="77777777" w:rsidR="00A61E37" w:rsidRDefault="00D3623A">
      <w:pPr>
        <w:pStyle w:val="Body-neg-Einz12-Abst"/>
      </w:pPr>
      <w:r>
        <w:t>a)</w:t>
      </w:r>
      <w:r>
        <w:tab/>
        <w:t>die Projektentwicklung, Projektbeteiligung und Projektfinanzierung;</w:t>
      </w:r>
    </w:p>
    <w:p w14:paraId="23770B0A" w14:textId="77777777" w:rsidR="00A61E37" w:rsidRDefault="00D3623A">
      <w:pPr>
        <w:pStyle w:val="Body-neg-Einz"/>
      </w:pPr>
      <w:r>
        <w:t>b)</w:t>
      </w:r>
      <w:r>
        <w:tab/>
        <w:t>der Erwerb und die Verwaltung von Liegenschaften;</w:t>
      </w:r>
    </w:p>
    <w:p w14:paraId="28EF4AFD" w14:textId="77777777" w:rsidR="00A61E37" w:rsidRDefault="00D3623A">
      <w:pPr>
        <w:pStyle w:val="Body-neg-Einz"/>
      </w:pPr>
      <w:r>
        <w:t>c)</w:t>
      </w:r>
      <w:r>
        <w:tab/>
        <w:t>der Erwerb und die Verwaltung von Beteiligungen;</w:t>
      </w:r>
    </w:p>
    <w:p w14:paraId="7F1C82E7" w14:textId="77777777" w:rsidR="00A61E37" w:rsidRDefault="00D3623A">
      <w:pPr>
        <w:pStyle w:val="Body-neg-Einz"/>
      </w:pPr>
      <w:r>
        <w:t>d)</w:t>
      </w:r>
      <w:r>
        <w:tab/>
        <w:t>Geschäfte nach dem BWG sind ausgeschlossen;</w:t>
      </w:r>
    </w:p>
    <w:p w14:paraId="03D6E490" w14:textId="77777777" w:rsidR="00A61E37" w:rsidRDefault="00D3623A">
      <w:pPr>
        <w:pStyle w:val="Body-neg-Einz"/>
      </w:pPr>
      <w:r>
        <w:t>e)</w:t>
      </w:r>
      <w:r>
        <w:tab/>
        <w:t xml:space="preserve">der Handel mit beweglichen und unbeweglichen Wirtschaftsgütern </w:t>
      </w:r>
      <w:r>
        <w:br/>
        <w:t>aller Art;</w:t>
      </w:r>
    </w:p>
    <w:p w14:paraId="660B198A" w14:textId="77777777" w:rsidR="00A61E37" w:rsidRDefault="00D3623A">
      <w:pPr>
        <w:pStyle w:val="berschriftZwischenueberschrift"/>
        <w:rPr>
          <w:rStyle w:val="Kursiv"/>
        </w:rPr>
      </w:pPr>
      <w:r>
        <w:rPr>
          <w:rStyle w:val="Kursiv"/>
        </w:rPr>
        <w:t>2.2</w:t>
      </w:r>
    </w:p>
    <w:p w14:paraId="52DFA9EF" w14:textId="77777777" w:rsidR="00A61E37" w:rsidRDefault="00D3623A">
      <w:r>
        <w:t xml:space="preserve">die Vornahme aller sonstigen, dem Zweck der Gesellschaft dienenden Geschäfte, </w:t>
      </w:r>
      <w:r>
        <w:lastRenderedPageBreak/>
        <w:t>selbst dann, wenn dadurch der eigentliche Zweck des Unternehmens erst in Zukunft erreicht werden soll oder kann.</w:t>
      </w:r>
    </w:p>
    <w:p w14:paraId="698717C1" w14:textId="0E8EEFF8" w:rsidR="00A61E37" w:rsidRDefault="00D3623A">
      <w:pPr>
        <w:pStyle w:val="berschriftVertragsname11Pktzentrfett"/>
      </w:pPr>
      <w:r>
        <w:rPr>
          <w:rStyle w:val="Fett"/>
          <w:b/>
          <w:bCs/>
        </w:rPr>
        <w:t>3.</w:t>
      </w:r>
      <w:r>
        <w:rPr>
          <w:rStyle w:val="Fett"/>
          <w:b/>
          <w:bCs/>
        </w:rPr>
        <w:t> </w:t>
      </w:r>
      <w:r>
        <w:rPr>
          <w:rStyle w:val="Fett"/>
          <w:b/>
          <w:bCs/>
        </w:rPr>
        <w:t>Stammkapital und Stammeinlagen</w:t>
      </w:r>
    </w:p>
    <w:p w14:paraId="7EA73075" w14:textId="1C98BC56" w:rsidR="00A61E37" w:rsidRDefault="00D3623A">
      <w:r>
        <w:t>Das Stammkapital der Gesellschaft beträgt € 10.000,00 (in Worten: Euro zehntausend)</w:t>
      </w:r>
      <w:r>
        <w:rPr>
          <w:rStyle w:val="Kursiv"/>
        </w:rPr>
        <w:t xml:space="preserve"> </w:t>
      </w:r>
      <w:r>
        <w:t>und wird von Max Mustermann, geb. 25. 3. 1978, zur Gänze mit der Verpflichtung übernommen, dieses sofort zur Gänze in Geld zu leisten.</w:t>
      </w:r>
    </w:p>
    <w:p w14:paraId="6EFB078A"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Dauer der Gesellschaft</w:t>
      </w:r>
    </w:p>
    <w:p w14:paraId="2F5D2FE5" w14:textId="77777777" w:rsidR="00A61E37" w:rsidRDefault="00D3623A">
      <w:r>
        <w:t>Die Gesellschaft wird auf unbestimmte Zeit errichtet.</w:t>
      </w:r>
    </w:p>
    <w:p w14:paraId="25033A49" w14:textId="77777777" w:rsidR="00A61E37" w:rsidRDefault="00D3623A">
      <w:pPr>
        <w:pStyle w:val="berschriftVertragsname11Pktzentrfett"/>
        <w:rPr>
          <w:rStyle w:val="Fett"/>
          <w:b/>
          <w:bCs/>
        </w:rPr>
      </w:pPr>
      <w:r>
        <w:rPr>
          <w:rStyle w:val="Fett"/>
          <w:b/>
          <w:bCs/>
        </w:rPr>
        <w:t>5.</w:t>
      </w:r>
      <w:r>
        <w:rPr>
          <w:rStyle w:val="Fett"/>
          <w:b/>
          <w:bCs/>
        </w:rPr>
        <w:t> </w:t>
      </w:r>
      <w:r>
        <w:rPr>
          <w:rStyle w:val="Fett"/>
          <w:b/>
          <w:bCs/>
        </w:rPr>
        <w:t>Geschäftsjahr</w:t>
      </w:r>
    </w:p>
    <w:p w14:paraId="07DFD10C" w14:textId="3C2FEA57" w:rsidR="00A61E37" w:rsidRDefault="00D3623A">
      <w:r>
        <w:t>Das erste Geschäftsjahr beginnt mit der Eintragung der Gesellschaft in das Firmenbuch und endet mit dem darauf folgenden 30. (dreißigsten) November. Die weiteren Geschäftsjahre beginnen jeweils mit 1. (ersten) Dezember und enden am jeweils darauf folgenden 30. (dreißigsten) November.</w:t>
      </w:r>
    </w:p>
    <w:p w14:paraId="30637AA0"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Übertragung von Geschäftsanteilen</w:t>
      </w:r>
    </w:p>
    <w:p w14:paraId="7364079E" w14:textId="77777777" w:rsidR="00A61E37" w:rsidRDefault="00D3623A">
      <w:r>
        <w:t>Die Geschäftsanteile bestimmen sich nach der Höhe der übernommenen Stammeinlagen und sind erb-, teil- und übertragbar.</w:t>
      </w:r>
    </w:p>
    <w:p w14:paraId="5F851AC7"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Geschäftsführung und Firmenzeichnung</w:t>
      </w:r>
    </w:p>
    <w:p w14:paraId="1061312B" w14:textId="77777777" w:rsidR="00A61E37" w:rsidRDefault="00D3623A">
      <w:pPr>
        <w:pStyle w:val="berschriftZwischenueberschrift-nach-UE"/>
        <w:rPr>
          <w:rStyle w:val="Kursiv"/>
        </w:rPr>
      </w:pPr>
      <w:r>
        <w:rPr>
          <w:rStyle w:val="Kursiv"/>
        </w:rPr>
        <w:t>7.1</w:t>
      </w:r>
    </w:p>
    <w:p w14:paraId="7BA7EF2C" w14:textId="77777777" w:rsidR="00A61E37" w:rsidRDefault="00D3623A">
      <w:r>
        <w:t>Die Generalversammlung bestellt einen, zwei oder mehrere Geschäftsführer.</w:t>
      </w:r>
    </w:p>
    <w:p w14:paraId="748F5FCB" w14:textId="77777777" w:rsidR="00A61E37" w:rsidRDefault="00D3623A">
      <w:r>
        <w:t>Mindestens ein Geschäftsführer muss seinen gewöhnlichen Aufenthalt im Inland haben.</w:t>
      </w:r>
    </w:p>
    <w:p w14:paraId="3B5AF5D8" w14:textId="77777777" w:rsidR="00A61E37" w:rsidRDefault="00D3623A">
      <w:pPr>
        <w:pStyle w:val="berschriftZwischenueberschrift"/>
        <w:rPr>
          <w:rStyle w:val="Kursiv"/>
        </w:rPr>
      </w:pPr>
      <w:r>
        <w:rPr>
          <w:rStyle w:val="Kursiv"/>
        </w:rPr>
        <w:t>7.2</w:t>
      </w:r>
    </w:p>
    <w:p w14:paraId="2B962621" w14:textId="77777777" w:rsidR="00A61E37" w:rsidRDefault="00D3623A">
      <w:r>
        <w:t>Der / ​die Geschäftsführer besorg(t)en die Geschäftsführung der Gesellschaft und vertreten diese gerichtlich wie außergerichtlich.</w:t>
      </w:r>
    </w:p>
    <w:p w14:paraId="3A417E7B" w14:textId="77777777" w:rsidR="00A61E37" w:rsidRDefault="00D3623A">
      <w:r>
        <w:t>Die Geschäftsführung erstreckt sich auf alle Handlungen, die der gewöhnliche Geschäftsbetrieb der Gesellschaft mit sich bringt. Der / ​die Geschäftsführer hat / ​haben bei Ausübung seiner / ​ihrer Funktion die Gesetzes- und Vertragsbestimmungen, eine allfällige Geschäftsordnung sowie die Weisungen der Generalversammlung zu beachten.</w:t>
      </w:r>
    </w:p>
    <w:p w14:paraId="7D9DFAE3" w14:textId="77777777" w:rsidR="00A61E37" w:rsidRDefault="00D3623A">
      <w:pPr>
        <w:pStyle w:val="berschriftZwischenueberschrift"/>
        <w:rPr>
          <w:rStyle w:val="Kursiv"/>
        </w:rPr>
      </w:pPr>
      <w:r>
        <w:rPr>
          <w:rStyle w:val="Kursiv"/>
        </w:rPr>
        <w:lastRenderedPageBreak/>
        <w:t>7.3</w:t>
      </w:r>
    </w:p>
    <w:p w14:paraId="30AEDE3C" w14:textId="153DEE4A" w:rsidR="00A61E37" w:rsidRDefault="00D3623A">
      <w:r>
        <w:t>Ist nur ein Geschäftsführer bestellt, so vertritt dieser die Gesellschaft alleine.</w:t>
      </w:r>
      <w:r>
        <w:rPr>
          <w:rStyle w:val="Kursiv"/>
        </w:rPr>
        <w:t xml:space="preserve"> </w:t>
      </w:r>
      <w:r>
        <w:t>Die Gesellschaft wird, wenn mehrere Geschäftsführer bestellt sind, durch zwei Geschäftsführer gemeinsam oder durch einen von ihnen gemeinsam mit einem Gesamtprokuristen vertreten.</w:t>
      </w:r>
    </w:p>
    <w:p w14:paraId="3F9082BB" w14:textId="77777777" w:rsidR="00A61E37" w:rsidRDefault="00D3623A">
      <w:r>
        <w:t>Die Generalversammlung kann – auch wenn mehrere Geschäftsführer bestellt sind – einzelnen von ihnen selbständige Vertretungsbefugnis erteilen.</w:t>
      </w:r>
    </w:p>
    <w:p w14:paraId="25F41F18" w14:textId="77777777" w:rsidR="00A61E37" w:rsidRDefault="00D3623A">
      <w:pPr>
        <w:pStyle w:val="berschriftZwischenueberschrift"/>
        <w:rPr>
          <w:rStyle w:val="Kursiv"/>
        </w:rPr>
      </w:pPr>
      <w:r>
        <w:rPr>
          <w:rStyle w:val="Kursiv"/>
        </w:rPr>
        <w:t>7.4</w:t>
      </w:r>
    </w:p>
    <w:p w14:paraId="2159A96C" w14:textId="77777777" w:rsidR="00A61E37" w:rsidRDefault="00D3623A">
      <w:r>
        <w:t>Im Innenverhältnis wird vereinbart, dass der / ​die Geschäftsführer verpflichtet ist / ​sind, die Zustimmung der Generalversammlung für folgende Tätigkeiten einzuholen:</w:t>
      </w:r>
    </w:p>
    <w:p w14:paraId="07C55593" w14:textId="03EB48D4" w:rsidR="00A61E37" w:rsidRDefault="00D3623A">
      <w:pPr>
        <w:pStyle w:val="Body-neg-Einz12-Abst"/>
      </w:pPr>
      <w:r>
        <w:t>a)</w:t>
      </w:r>
      <w:r>
        <w:tab/>
        <w:t>Zum Erwerb und / ​oder zur Veräußerung oder Belastung von Liegenschaften;</w:t>
      </w:r>
    </w:p>
    <w:p w14:paraId="3870AADD" w14:textId="7455AC7A" w:rsidR="00A61E37" w:rsidRDefault="00D3623A">
      <w:pPr>
        <w:pStyle w:val="Body-neg-Einz"/>
      </w:pPr>
      <w:r>
        <w:t>b)</w:t>
      </w:r>
      <w:r>
        <w:tab/>
        <w:t>zur Errichtung oder Auflassung von Zweigniederlassungen und Betriebsstätten, zum Erwerb und zur Veräußerung von Beteiligungen sowie zur Aufnahme und Aufgabe von Geschäftszweigen und Produktionsarten;</w:t>
      </w:r>
    </w:p>
    <w:p w14:paraId="5557BE8B" w14:textId="77777777" w:rsidR="00A61E37" w:rsidRDefault="00D3623A">
      <w:pPr>
        <w:pStyle w:val="Body-neg-Einz"/>
      </w:pPr>
      <w:r>
        <w:t>c)</w:t>
      </w:r>
      <w:r>
        <w:tab/>
        <w:t>zur Bestellung und Abberufung von Prokuristen und Handlungsbevollmächtigten sowie zum Abschluss und zur Beendigung von Dienstverhältnissen mit Dienstnehmern der gegenständlichen Gesellschaft;</w:t>
      </w:r>
    </w:p>
    <w:p w14:paraId="2235C7AB" w14:textId="15C6BEC2" w:rsidR="00A61E37" w:rsidRDefault="00D3623A">
      <w:pPr>
        <w:pStyle w:val="Body-neg-Einz"/>
      </w:pPr>
      <w:r>
        <w:t>d)</w:t>
      </w:r>
      <w:r>
        <w:tab/>
        <w:t>zum Ankauf oder Verkauf von Anlagevermögen, bei dem die Verbindlichkeiten der gegenständlichen Gesellschaft einen Betrag von € ………………… (in Worten: Euro ………………….) überschreiten sowie zur Veräußerung betriebswesentlicher Teile des Gesellschaftsvermögens;</w:t>
      </w:r>
    </w:p>
    <w:p w14:paraId="0439B78D" w14:textId="77777777" w:rsidR="00A61E37" w:rsidRDefault="00D3623A">
      <w:pPr>
        <w:pStyle w:val="Body-neg-Einz"/>
      </w:pPr>
      <w:r>
        <w:t>e)</w:t>
      </w:r>
      <w:r>
        <w:tab/>
        <w:t>sämtliche Geschäftsführermaßnahmen, die nicht in der Vorschaurechnung sowie den Investitions- und Personalplan enthalten sind, über den Umfang der laufenden Geschäfte hinausgehen oder Geschäfte betreffen, die nicht zum Unternehmensgegenstand der Gesellschaft gehören.</w:t>
      </w:r>
    </w:p>
    <w:p w14:paraId="35435A30" w14:textId="77777777" w:rsidR="00A61E37" w:rsidRDefault="00D3623A">
      <w:r>
        <w:t>Sind zustimmungspflichtige Maßnahmen bereits Inhalt des genehmigten Budgets, bedarf es keiner gesonderten Genehmigung durch die Generalversammlung.</w:t>
      </w:r>
    </w:p>
    <w:p w14:paraId="73E7C597" w14:textId="77777777" w:rsidR="00A61E37" w:rsidRDefault="00D3623A">
      <w:pPr>
        <w:pStyle w:val="berschriftZwischenueberschrift"/>
        <w:rPr>
          <w:rStyle w:val="Kursiv"/>
        </w:rPr>
      </w:pPr>
      <w:r>
        <w:rPr>
          <w:rStyle w:val="Kursiv"/>
        </w:rPr>
        <w:t>7.5</w:t>
      </w:r>
    </w:p>
    <w:p w14:paraId="1D94301D" w14:textId="77777777" w:rsidR="00A61E37" w:rsidRDefault="00D3623A">
      <w:r>
        <w:t>Die Zeichnung der Firma geschieht in der Weise, dass der / ​die Geschäftsführer unter den wie immer wiedergegebenen Firmenwortlaut seine / ​ihre Unterschrift setz(t)en.</w:t>
      </w:r>
    </w:p>
    <w:p w14:paraId="59067E8F" w14:textId="77777777" w:rsidR="00A61E37" w:rsidRDefault="00D3623A">
      <w:r>
        <w:lastRenderedPageBreak/>
        <w:t>Allenfalls bestellte Prokuristen unterschreiben mit einem auf die Prokura hinweisenden Zusatz.</w:t>
      </w:r>
    </w:p>
    <w:p w14:paraId="69320C5D" w14:textId="77777777" w:rsidR="00A61E37" w:rsidRDefault="00D3623A">
      <w:pPr>
        <w:pStyle w:val="berschriftVertragsname11Pktzentrfett"/>
        <w:rPr>
          <w:rStyle w:val="Fett"/>
          <w:b/>
          <w:bCs/>
        </w:rPr>
      </w:pPr>
      <w:r>
        <w:rPr>
          <w:rStyle w:val="Fett"/>
          <w:b/>
          <w:bCs/>
        </w:rPr>
        <w:t>8.</w:t>
      </w:r>
      <w:r>
        <w:rPr>
          <w:rStyle w:val="Fett"/>
          <w:b/>
          <w:bCs/>
        </w:rPr>
        <w:t> </w:t>
      </w:r>
      <w:r>
        <w:rPr>
          <w:rStyle w:val="Fett"/>
          <w:b/>
          <w:bCs/>
        </w:rPr>
        <w:t>Generalversammlung</w:t>
      </w:r>
    </w:p>
    <w:p w14:paraId="40113283" w14:textId="77777777" w:rsidR="00A61E37" w:rsidRDefault="00D3623A">
      <w:pPr>
        <w:pStyle w:val="berschriftZwischenueberschrift-nach-UE"/>
        <w:rPr>
          <w:rStyle w:val="Kursiv"/>
        </w:rPr>
      </w:pPr>
      <w:r>
        <w:rPr>
          <w:rStyle w:val="Kursiv"/>
        </w:rPr>
        <w:t>8.1</w:t>
      </w:r>
    </w:p>
    <w:p w14:paraId="6ECBA68D" w14:textId="77777777" w:rsidR="00A61E37" w:rsidRDefault="00D3623A">
      <w:r>
        <w:t xml:space="preserve">Die durch das Gesetz und den Gesellschaftsvertrag den Gesellschaftern vorbehaltenen Beschlüsse werden in der Generalversammlung gefasst. Soweit sämtliche Gesellschafter mit der betreffenden Form der Beschlussfassung einverstanden sind und nicht zwingende Formvorschriften bestehen, können Beschlüsse der Gesellschaft auch auf andere Art in sinngemäßer Anwendung der Vorschrift des § 34 GmbHG gefasst werden. Außerhalb von physischen Generalversammlungen können Beschlüsse auch im Umlaufverfahren in schriftlicher Form oder in Form von virtuellen Sitzungen per Telefon, Videokonferenz, per E‑Mail oder durch eine vergleichbare Form und in kombinierten Verfahren abgehalten werden. Dabei ist auch die Kombination einer Versammlung mit einer – vorherigen, gleichzeitigen oder nachträglichen – Stimmabgabe der anderen Gesellschafter sowie eine Kombination verschiedener Stimmabgaben zulässig. </w:t>
      </w:r>
      <w:r>
        <w:rPr>
          <w:rStyle w:val="Kursiv"/>
        </w:rPr>
        <w:t xml:space="preserve">Im Fall von schriftlichen Abstimmungen wird die nach dem Gesetz oder diesem Gesellschaftsvertrag erforderliche Mehrheit nicht nach der Anzahl der abgegebenen, sondern nach der Gesamtzahl der allen Gesellschaftern zustehenden Stimmen berechnet. </w:t>
      </w:r>
      <w:r>
        <w:t>Über außerhalb von physischen Versammlungen bzw im Umlaufverfahren gefasste Beschlüsse ist unverzüglich ein Protokoll zu erstellen und sämtlichen Gesellschaftern zu übermitteln.</w:t>
      </w:r>
    </w:p>
    <w:p w14:paraId="15C15CB2" w14:textId="77777777" w:rsidR="00A61E37" w:rsidRDefault="00D3623A">
      <w:pPr>
        <w:pStyle w:val="berschriftZwischenueberschrift"/>
        <w:rPr>
          <w:rStyle w:val="Kursiv"/>
        </w:rPr>
      </w:pPr>
      <w:r>
        <w:rPr>
          <w:rStyle w:val="Kursiv"/>
        </w:rPr>
        <w:t>Alternativ:</w:t>
      </w:r>
    </w:p>
    <w:p w14:paraId="360DDAAD" w14:textId="77777777" w:rsidR="00A61E37" w:rsidRDefault="00D3623A">
      <w:pPr>
        <w:rPr>
          <w:rStyle w:val="Kursiv"/>
        </w:rPr>
      </w:pPr>
      <w:r>
        <w:rPr>
          <w:rStyle w:val="Kursiv"/>
        </w:rPr>
        <w:t>Die Durchführung der Generalversammlung ohne physische Anwesenheit der Gesellschafter bzw deren Vertreter (virtuelle Versammlung) bzw der Durchführung einer hybriden Versammlung ist nach Maßgabe des VirtGesG zulässig. Das einberufende Organ entscheidet über die Form der Durchführung.</w:t>
      </w:r>
    </w:p>
    <w:p w14:paraId="4C8AF9A9" w14:textId="77777777" w:rsidR="00A61E37" w:rsidRDefault="00D3623A">
      <w:pPr>
        <w:pStyle w:val="berschriftZwischenueberschrift"/>
        <w:rPr>
          <w:rStyle w:val="Kursiv"/>
        </w:rPr>
      </w:pPr>
      <w:r>
        <w:rPr>
          <w:rStyle w:val="Kursiv"/>
        </w:rPr>
        <w:t>8.2</w:t>
      </w:r>
    </w:p>
    <w:p w14:paraId="0A98A7EF" w14:textId="0490C477" w:rsidR="00A61E37" w:rsidRDefault="00D3623A">
      <w:r>
        <w:t>Die Generalversammlung findet am Sitz der Gesellschaft oder einem von sämtlichen Gesellschaftern einvernehmlich festgelegten Ort, an welchem zumindest ein Rechtsanwalt seinen Sitz hat, statt und ist mindestens einmal jährlich (innerhalb der ersten acht Monate) einzuberufen. Die Einberufung einer Generalversammlung kann von jedem Gesellschafter oder Geschäftsführer ausgehen; sie erfolgt mittels eingeschriebenen Briefes an die Gesellschaft an die jeweils aktuell im Firmenbuch aufscheinende Geschäftsanschrift und an sämtliche Gesellschaf</w:t>
      </w:r>
      <w:r>
        <w:lastRenderedPageBreak/>
        <w:t>ter unter der der Gesellschaft zuletzt bekannt gegebenen Anschrift. Zwischen dem Tage der Aufgabe des Einberufungsschreibens zur Post und dem Tage der Generalversammlung muss mindestens ein Zeitraum von vierzehn Tagen liegen. Zweck und Beratungsgegenstand (Tagesordnung) sind ihrem wesentlichen Inhalte nach, gleichzeitig mit der Einladung, den Gesellschaftern mitzuteilen und sämtliche für die Generalversammlung relevanten Dokumente zu übermitteln. Die Generalversammlung kann mit einfacher Mehrheit davon abweichend bestimmen, dass die Einberufung einer Generalversammlung auch per E-Mail zulässig sein soll, wobei in diesem Fall der Einberufende den Nachweis des Zugangs zu erbringen hat.</w:t>
      </w:r>
    </w:p>
    <w:p w14:paraId="1D6F1FA4" w14:textId="77777777" w:rsidR="00A61E37" w:rsidRDefault="00D3623A">
      <w:r>
        <w:t>Die Generalversammlung ist von den Geschäftsführern neben den im Gesetz genannten Fällen auch immer dann einzuberufen, wenn es das Wohl der Gesellschaft erfordert oder wenn dies von einem Gesellschafter unter Angabe des Zwecks gewünscht und im Interesse der Gesellschaft für notwendig erachtet wird.</w:t>
      </w:r>
    </w:p>
    <w:p w14:paraId="4B1DA9AC" w14:textId="77777777" w:rsidR="00A61E37" w:rsidRDefault="00D3623A">
      <w:pPr>
        <w:pStyle w:val="berschriftZwischenueberschrift"/>
        <w:rPr>
          <w:rStyle w:val="Kursiv"/>
        </w:rPr>
      </w:pPr>
      <w:r>
        <w:rPr>
          <w:rStyle w:val="Kursiv"/>
        </w:rPr>
        <w:t>8.3</w:t>
      </w:r>
    </w:p>
    <w:p w14:paraId="4C03162F" w14:textId="77777777" w:rsidR="00A61E37" w:rsidRDefault="00D3623A">
      <w:r>
        <w:t>Jeder Gesellschafter hat für € 1,00 (in Worten: Euro eins) seiner Stammeinlage eine Stimme, doch steht jedem Gesellschafter, ohne Rücksicht auf die Höhe seiner Stammeinlage, mindestens eine Stimme zu.</w:t>
      </w:r>
    </w:p>
    <w:p w14:paraId="2D76D5BA" w14:textId="77777777" w:rsidR="00A61E37" w:rsidRDefault="00D3623A">
      <w:pPr>
        <w:pStyle w:val="berschriftZwischenueberschrift"/>
        <w:rPr>
          <w:rStyle w:val="Kursiv"/>
        </w:rPr>
      </w:pPr>
      <w:r>
        <w:rPr>
          <w:rStyle w:val="Kursiv"/>
        </w:rPr>
        <w:t>8.4</w:t>
      </w:r>
    </w:p>
    <w:p w14:paraId="42F21371" w14:textId="40CDAE3F" w:rsidR="00A61E37" w:rsidRDefault="00D3623A">
      <w:r>
        <w:t>Die Beschlüsse in der Generalversammlung werden mit einfacher Mehrheit der abgegebenen Stimmen gefasst, ausgenommen jene Fälle, in welchen das Gesetz oder der Gesellschaftsvertrag eine qualifizierte Mehrheit vorsehen. Weisungen an die Geschäftsführung bedürfen jedenfalls lediglich einer einfachen Mehrheit. Die Generalversammlung ist beschlussfähig, wenn zumindest 51 % des Stammkapitals anwesend oder rechtswirksam vertreten sind. Im Falle der Beschlussunfähigkeit einer Versammlung ist unter Hinweis auf deren Beschlussunfähigkeit eine zweite Versammlung einzuberufen, die auf die Verhandlung der Gegenstände der früheren Versammlung beschränkt und – wenn das Gesetz und / ​oder dieser Gesellschaftsvertrag nichts anderes bestimmt – ohne Rücksicht auf die Höhe des vertretenen Stammkapitals beschlussfähig ist.</w:t>
      </w:r>
    </w:p>
    <w:p w14:paraId="5BE0ABD8" w14:textId="77777777" w:rsidR="00A61E37" w:rsidRDefault="00D3623A">
      <w:pPr>
        <w:pStyle w:val="berschriftZwischenueberschrift"/>
        <w:rPr>
          <w:rStyle w:val="Kursiv"/>
        </w:rPr>
      </w:pPr>
      <w:r>
        <w:rPr>
          <w:rStyle w:val="Kursiv"/>
        </w:rPr>
        <w:t>8.5</w:t>
      </w:r>
    </w:p>
    <w:p w14:paraId="552D567C" w14:textId="77777777" w:rsidR="00A61E37" w:rsidRDefault="00D3623A">
      <w:r>
        <w:t xml:space="preserve">Die Ausübung des Stimmrechtes durch einen Bevollmächtigten ist zulässig, doch bedarf es hierzu einer schriftlichen, auf die Ausübung dieses Rechtes lautenden Vollmacht. Personen, die Konkurrenzunternehmen betreiben oder an diesen </w:t>
      </w:r>
      <w:r>
        <w:lastRenderedPageBreak/>
        <w:t>beteiligt sind, sind als Vertreter ausgeschlossen.</w:t>
      </w:r>
    </w:p>
    <w:p w14:paraId="475BA4CB" w14:textId="77777777" w:rsidR="00A61E37" w:rsidRDefault="00D3623A">
      <w:pPr>
        <w:pStyle w:val="berschriftZwischenueberschrift"/>
        <w:rPr>
          <w:rStyle w:val="Kursiv"/>
        </w:rPr>
      </w:pPr>
      <w:r>
        <w:rPr>
          <w:rStyle w:val="Kursiv"/>
        </w:rPr>
        <w:t>8.6</w:t>
      </w:r>
    </w:p>
    <w:p w14:paraId="21CDE01B" w14:textId="77777777" w:rsidR="00A61E37" w:rsidRDefault="00D3623A">
      <w:r>
        <w:t xml:space="preserve">Der Generalversammlung obliegt die Beschlussfassung insbesondere in nachstehenden Angelegenheiten, welche diesbezüglich mit </w:t>
      </w:r>
      <w:r>
        <w:rPr>
          <w:rStyle w:val="Kursiv"/>
        </w:rPr>
        <w:t>¾ (Drei Viertel)-</w:t>
      </w:r>
      <w:r>
        <w:t>Mehrheit der abgegebenen Stimmen zu beschließen hat, sofern das Gesetz nicht eine andere (qualifizierte) Mehrheit zwingend vorsieht:</w:t>
      </w:r>
    </w:p>
    <w:p w14:paraId="721B35E9" w14:textId="77777777" w:rsidR="00A61E37" w:rsidRDefault="00D3623A">
      <w:pPr>
        <w:pStyle w:val="Body-neg-Einz12-Abst"/>
      </w:pPr>
      <w:r>
        <w:t>a)</w:t>
      </w:r>
      <w:r>
        <w:tab/>
        <w:t>Änderung des Gesellschaftsvertrages;</w:t>
      </w:r>
    </w:p>
    <w:p w14:paraId="18F01E23" w14:textId="2DA27663" w:rsidR="00A61E37" w:rsidRDefault="00D3623A">
      <w:pPr>
        <w:pStyle w:val="Body-neg-Einz"/>
      </w:pPr>
      <w:r>
        <w:t>b)</w:t>
      </w:r>
      <w:r>
        <w:tab/>
        <w:t>Erwerb und / ​oder Veräußerung oder Belastung von Liegenschaften;</w:t>
      </w:r>
    </w:p>
    <w:p w14:paraId="4EC0ED2C" w14:textId="4CA48317" w:rsidR="00A61E37" w:rsidRDefault="00D3623A">
      <w:pPr>
        <w:pStyle w:val="Body-neg-Einz"/>
      </w:pPr>
      <w:r>
        <w:t>c)</w:t>
      </w:r>
      <w:r>
        <w:tab/>
        <w:t>Errichtung oder Auflassung von Zweigniederlassungen und Betriebsstätten, Erwerb und Veräußerung von Beteiligungen sowie Aufnahme und Aufgabe von Geschäftszweigen und Produktionsarten;</w:t>
      </w:r>
    </w:p>
    <w:p w14:paraId="5A577D43" w14:textId="77777777" w:rsidR="00A61E37" w:rsidRDefault="00D3623A">
      <w:pPr>
        <w:pStyle w:val="Body-neg-Einz"/>
      </w:pPr>
      <w:r>
        <w:t>d)</w:t>
      </w:r>
      <w:r>
        <w:tab/>
        <w:t>Bestellung und Abberufung von Prokuristen und Handlungsbevollmächtigten sowie Abschluss und Beendigung von Dienstverhältnissen mit Dienstnehmern der gegenständlichen Gesellschaft;</w:t>
      </w:r>
    </w:p>
    <w:p w14:paraId="696D49BB" w14:textId="5E45DC00" w:rsidR="00A61E37" w:rsidRDefault="00D3623A">
      <w:pPr>
        <w:pStyle w:val="Body-neg-Einz"/>
      </w:pPr>
      <w:r>
        <w:t>e)</w:t>
      </w:r>
      <w:r>
        <w:tab/>
        <w:t>Ankauf oder Verkauf von Anlagevermögen, bei dem die Verbindlichkeiten der gegenständlichen Gesellschaft einen Betrag von € …………………. (in Worten: Euro ……………….) überschreiten sowie Veräußerung betriebswesentlicher Teile des Gesellschaftsvermögens;</w:t>
      </w:r>
    </w:p>
    <w:p w14:paraId="20B27556" w14:textId="77777777" w:rsidR="00A61E37" w:rsidRDefault="00D3623A">
      <w:pPr>
        <w:pStyle w:val="Body-neg-Einz"/>
      </w:pPr>
      <w:r>
        <w:t>f)</w:t>
      </w:r>
      <w:r>
        <w:tab/>
        <w:t>Verfügung über gewerbliche Schutzrechte, insbesondere Patent- und Lizenzrechte, sofern Verfügungen nicht im Rahmen der allgemein üblichen Geschäftstätigkeit vorgenommen werden;</w:t>
      </w:r>
    </w:p>
    <w:p w14:paraId="794C1504" w14:textId="77777777" w:rsidR="00A61E37" w:rsidRDefault="00D3623A">
      <w:pPr>
        <w:pStyle w:val="Body-neg-Einz"/>
      </w:pPr>
      <w:r>
        <w:t>g)</w:t>
      </w:r>
      <w:r>
        <w:tab/>
        <w:t>Aufnahme und Gewährung von jeglichen Anleihen, Darlehen und Krediten, Eingehen von Wechsel- und Bürgschaftsverpflichtungen, Garantien, Sicherungsübereignungen, Pfandbestellungen, Schuldübernahmen und Übernahme sonstiger Haftungen;</w:t>
      </w:r>
    </w:p>
    <w:p w14:paraId="76CF442B" w14:textId="77777777" w:rsidR="00A61E37" w:rsidRDefault="00D3623A">
      <w:pPr>
        <w:pStyle w:val="Body-neg-Einz"/>
      </w:pPr>
      <w:r>
        <w:t>h)</w:t>
      </w:r>
      <w:r>
        <w:tab/>
        <w:t>Einräumung von Fruchtgenussrechten, stillen Beteiligungen oder anderen Beteiligungen am Unternehmensgewinn sowie zum Abschluss von Gesellschaftsverträgen und zur Übernahme der Gesellschafterstellung mit unbeschränkter Haftung;</w:t>
      </w:r>
    </w:p>
    <w:p w14:paraId="0877206F" w14:textId="77777777" w:rsidR="00A61E37" w:rsidRDefault="00D3623A">
      <w:pPr>
        <w:pStyle w:val="Body-neg-Einz"/>
      </w:pPr>
      <w:r>
        <w:t>i)</w:t>
      </w:r>
      <w:r>
        <w:tab/>
        <w:t>Abschluss von Ergebnisabführungs-, Beherrschungs-, Steuerausgleichs-, Gewinnpoolings-, Betriebsführungs-, Betriebsüberlassungs- und anderen Unternehmensverträgen;</w:t>
      </w:r>
    </w:p>
    <w:p w14:paraId="5D23EAB6" w14:textId="77777777" w:rsidR="00A61E37" w:rsidRDefault="00D3623A">
      <w:pPr>
        <w:pStyle w:val="Body-neg-Einz"/>
      </w:pPr>
      <w:r>
        <w:t>j)</w:t>
      </w:r>
      <w:r>
        <w:tab/>
        <w:t>Vergabe von Werkverträgen und Dienstleistungsverträgen mit einem Volumen über € …………………. (in Worten: Euro ………………….), wobei ineinander übergehende Verträge einheitlich zu betrachten sind;</w:t>
      </w:r>
    </w:p>
    <w:p w14:paraId="45F01E49" w14:textId="77777777" w:rsidR="00A61E37" w:rsidRDefault="00D3623A">
      <w:pPr>
        <w:pStyle w:val="Body-neg-Einz"/>
      </w:pPr>
      <w:r>
        <w:t>k)</w:t>
      </w:r>
      <w:r>
        <w:tab/>
        <w:t>Abschluss von Dienstverhältnissen und Werkverträgen mit einem monatlichen Bruttoverdienst von über € …………………. (in Worten: Euro …………………);</w:t>
      </w:r>
    </w:p>
    <w:p w14:paraId="27C6AC04" w14:textId="77777777" w:rsidR="00A61E37" w:rsidRDefault="00D3623A">
      <w:pPr>
        <w:pStyle w:val="Body-neg-Einz"/>
      </w:pPr>
      <w:r>
        <w:lastRenderedPageBreak/>
        <w:t>l)</w:t>
      </w:r>
      <w:r>
        <w:tab/>
        <w:t>Abschluss von Verträgen, die über den Umfang des laufenden Geschäftsbetriebes der gegenständlichen Gesellschaft hinausgehen oder für die gegenständliche Gesellschaft von grundsätzlicher Bedeutung sind, insbesondere Rechtsgeschäfte zwischen der Gesellschaft und den Gesellschaftern oder mit den Gesellschaftern verbundenen Unternehmen bzw deren Familienangehörigen;</w:t>
      </w:r>
    </w:p>
    <w:p w14:paraId="0BC1D299" w14:textId="77777777" w:rsidR="00A61E37" w:rsidRDefault="00D3623A">
      <w:pPr>
        <w:pStyle w:val="Body-neg-Einz"/>
      </w:pPr>
      <w:r>
        <w:t>m)</w:t>
      </w:r>
      <w:r>
        <w:tab/>
        <w:t>Festlegung allgemeiner Grundsätze der Geschäftspolitik, insbesondere zur Festlegung des jährlichen Budgets (bestehend aus Investitions- und Finanzplan, Planbilanz und Plan G + V), sowie zur Festlegung von Grundsätzen über die Gewährung von Gewinn- und Umsatzbeteiligungen und Pensionszusagen an Geschäftsführer und leitende Angestellte;</w:t>
      </w:r>
    </w:p>
    <w:p w14:paraId="25B8F374" w14:textId="77777777" w:rsidR="00A61E37" w:rsidRDefault="00D3623A">
      <w:pPr>
        <w:pStyle w:val="Body-neg-Einz"/>
      </w:pPr>
      <w:r>
        <w:t>n)</w:t>
      </w:r>
      <w:r>
        <w:tab/>
        <w:t>für sämtliche Geschäftsführermaßnahmen, die nicht in der Vorschaurechnung sowie dem Investitions- und Personalplan enthalten sind oder Geschäfte betreffen, die nicht zum Unternehmensgegenstand der Gesellschaft gehören;</w:t>
      </w:r>
    </w:p>
    <w:p w14:paraId="436061A3" w14:textId="77777777" w:rsidR="00A61E37" w:rsidRDefault="00D3623A">
      <w:pPr>
        <w:pStyle w:val="Body-neg-Einz"/>
      </w:pPr>
      <w:r>
        <w:t>o)</w:t>
      </w:r>
      <w:r>
        <w:tab/>
        <w:t>Ausübung von Rechten, welcher Art auch immer, insbesondere von Stimmrechten, aus der Beteiligung an Gesellschaften, an deren Kapital die Gesellschaft, in welcher Art auch immer, beteiligt ist oder die die Gesellschaft, auf welcher Rechtsgrundlage auch immer, insbesondere durch Stimmrechtsvollmachten, auszuüben berechtigt ist;</w:t>
      </w:r>
    </w:p>
    <w:p w14:paraId="638E8267" w14:textId="77777777" w:rsidR="00A61E37" w:rsidRDefault="00D3623A">
      <w:pPr>
        <w:pStyle w:val="Body-neg-Einz"/>
      </w:pPr>
      <w:r>
        <w:t>p)</w:t>
      </w:r>
      <w:r>
        <w:tab/>
        <w:t>Verlegung des Sitzes der Gesellschaft;</w:t>
      </w:r>
    </w:p>
    <w:p w14:paraId="6D2DA19A" w14:textId="77777777" w:rsidR="00A61E37" w:rsidRDefault="00D3623A">
      <w:pPr>
        <w:pStyle w:val="Body-neg-Einz"/>
      </w:pPr>
      <w:r>
        <w:t>q)</w:t>
      </w:r>
      <w:r>
        <w:tab/>
        <w:t>Prüfung und Genehmigung des Jahresabschlusses;</w:t>
      </w:r>
    </w:p>
    <w:p w14:paraId="0A9D7846" w14:textId="77777777" w:rsidR="00A61E37" w:rsidRDefault="00D3623A">
      <w:pPr>
        <w:pStyle w:val="Body-neg-Einz"/>
      </w:pPr>
      <w:r>
        <w:t>r)</w:t>
      </w:r>
      <w:r>
        <w:tab/>
        <w:t>Entlastung der Geschäftsführung und des Aufsichtsrats;</w:t>
      </w:r>
    </w:p>
    <w:p w14:paraId="561BDB7D" w14:textId="77777777" w:rsidR="00A61E37" w:rsidRDefault="00D3623A">
      <w:pPr>
        <w:pStyle w:val="Body-neg-Einz"/>
      </w:pPr>
      <w:r>
        <w:t>s)</w:t>
      </w:r>
      <w:r>
        <w:tab/>
        <w:t>Genehmigung der Geschäftsordnung der Geschäftsführung;</w:t>
      </w:r>
    </w:p>
    <w:p w14:paraId="05C01DE2" w14:textId="77777777" w:rsidR="00A61E37" w:rsidRDefault="00D3623A">
      <w:pPr>
        <w:pStyle w:val="Body-neg-Einz"/>
      </w:pPr>
      <w:r>
        <w:t>t)</w:t>
      </w:r>
      <w:r>
        <w:tab/>
        <w:t>Genehmigung der Geschäftsordnung des Aufsichtsrats.</w:t>
      </w:r>
    </w:p>
    <w:p w14:paraId="364727EA" w14:textId="77777777" w:rsidR="00A61E37" w:rsidRDefault="00D3623A">
      <w:pPr>
        <w:pStyle w:val="berschriftVertragsname11Pktzentrfett"/>
        <w:rPr>
          <w:rStyle w:val="Fett"/>
          <w:b/>
          <w:bCs/>
        </w:rPr>
      </w:pPr>
      <w:r>
        <w:rPr>
          <w:rStyle w:val="Fett"/>
          <w:b/>
          <w:bCs/>
        </w:rPr>
        <w:t>9.</w:t>
      </w:r>
      <w:r>
        <w:rPr>
          <w:rStyle w:val="Fett"/>
          <w:b/>
          <w:bCs/>
        </w:rPr>
        <w:t> </w:t>
      </w:r>
      <w:r>
        <w:rPr>
          <w:rStyle w:val="Fett"/>
          <w:b/>
          <w:bCs/>
        </w:rPr>
        <w:t>Gründungskosten</w:t>
      </w:r>
    </w:p>
    <w:p w14:paraId="62D31A6A" w14:textId="3915D340" w:rsidR="00A61E37" w:rsidRDefault="00D3623A">
      <w:r>
        <w:t>Die mit der Errichtung und Registrierung dieser Gesellschaft verbundenen Kosten, Steuern und Abgaben werden bis zu einem Höchstbetrag von € 2.000,00 (in Worten: Euro zweitausend) von der Gesellschaft getragen.</w:t>
      </w:r>
    </w:p>
    <w:p w14:paraId="57A94F9D" w14:textId="77777777" w:rsidR="00A61E37" w:rsidRDefault="00D3623A">
      <w:r>
        <w:t>Die Gründungskosten sind mit der Höhe der tatsächlich aufgewendeten Beträge als Ausgabe in die erste Jahresrechnung einzustellen.</w:t>
      </w:r>
    </w:p>
    <w:p w14:paraId="15602496" w14:textId="77777777" w:rsidR="00A61E37" w:rsidRDefault="00D3623A">
      <w:pPr>
        <w:pStyle w:val="berschriftVertragsname11Pktzentrfett"/>
        <w:rPr>
          <w:rStyle w:val="Fett"/>
          <w:b/>
          <w:bCs/>
        </w:rPr>
      </w:pPr>
      <w:r>
        <w:rPr>
          <w:rStyle w:val="Fett"/>
          <w:b/>
          <w:bCs/>
        </w:rPr>
        <w:t>10 Eidesstättige Erklärung</w:t>
      </w:r>
    </w:p>
    <w:p w14:paraId="24684D36" w14:textId="77777777" w:rsidR="00A61E37" w:rsidRDefault="00D3623A">
      <w:r>
        <w:t xml:space="preserve">Der Gesellschafter erklärt an Eides statt, in Kenntnis der Bestimmungen zur Verhinderung von Geldwäscherei und Terrorismusfinanzierung zu sein und garantiert, dass mit dieser Gesellschaftsgründung / ​mit diesem Gesellschaftsvertrag bzw den Tätigkeiten der Gesellschaft keine Geldwäsche oder eine sonstige strafrechtliche Handlung betrieben wird. Er bestätigt, er weder eine politisch </w:t>
      </w:r>
      <w:r>
        <w:lastRenderedPageBreak/>
        <w:t>exponierte Person (PEP) ist noch mit solchen verwandt und / ​oder geschäftlich verbunden (gewesen) ist.</w:t>
      </w:r>
    </w:p>
    <w:p w14:paraId="5066C55E" w14:textId="77777777" w:rsidR="00A61E37" w:rsidRDefault="00D3623A">
      <w:r>
        <w:t>Er garantiert, den jeweiligen Geschäftsanteil auf eigene Rechnung zu erwerben und damit wirtschaftlicher Eigentümer desselben zu sein bzw zu werden.</w:t>
      </w:r>
    </w:p>
    <w:p w14:paraId="11AE7C32" w14:textId="77777777" w:rsidR="00A61E37" w:rsidRDefault="00D3623A">
      <w:pPr>
        <w:pStyle w:val="berschriftVertragsname11Pktzentrfett"/>
        <w:rPr>
          <w:rStyle w:val="Fett"/>
          <w:b/>
          <w:bCs/>
        </w:rPr>
      </w:pPr>
      <w:r>
        <w:rPr>
          <w:rStyle w:val="Fett"/>
          <w:b/>
          <w:bCs/>
        </w:rPr>
        <w:t>11.</w:t>
      </w:r>
      <w:r>
        <w:rPr>
          <w:rStyle w:val="Fett"/>
          <w:b/>
          <w:bCs/>
        </w:rPr>
        <w:t> </w:t>
      </w:r>
      <w:r>
        <w:rPr>
          <w:rStyle w:val="Fett"/>
          <w:b/>
          <w:bCs/>
        </w:rPr>
        <w:t>Bevollmächtigung</w:t>
      </w:r>
    </w:p>
    <w:p w14:paraId="6DDF43DB" w14:textId="77777777" w:rsidR="00A61E37" w:rsidRDefault="00D3623A">
      <w:r>
        <w:t>Der Gesellschafter und Geschäftsführer bevollmächtigt und beauftragt hiermit die LIKAR Rechtsanwälte GmbH, FN 318414g, in 8010 Graz, Pestalozzistraße 1/II/13, sowie jeden ihrer Rechtsanwälte, unwiderruflich mit der Errichtung dieses Gesellschaftsvertrages und dessen Durchführung im Firmenbuch.</w:t>
      </w:r>
    </w:p>
    <w:p w14:paraId="293B2385" w14:textId="77777777" w:rsidR="00A61E37" w:rsidRDefault="00D3623A">
      <w:r>
        <w:t>Diese Vollmacht gilt auch ausdrücklich für die Errichtung und Unterfertigung von allenfalls erforderlichen Nachträgen zu dieser Errichtungserklärung, sofern diese Nachträge zur Herstellung des Firmenbuchstandes erforderlich sein sollten, insb auch zu einer allfälligen erforderlichen Änderung des Firmenwortlautes oder des Unternehmensgegenstandes der gegenständlichen Gesellschaft, und für jede ergänzende Anmeldung zum Firmenbuch.</w:t>
      </w:r>
    </w:p>
    <w:p w14:paraId="5CCE5BA3" w14:textId="77777777" w:rsidR="00A61E37" w:rsidRDefault="00D3623A">
      <w:r>
        <w:t>Der Gesellschafter und Geschäftsführer haftet unbeschadet sonstiger vertraglicher Regelungen dem Vertragserrichter gegenüber solidarisch für sämtliche Kosten.</w:t>
      </w:r>
    </w:p>
    <w:p w14:paraId="739E7080" w14:textId="77777777" w:rsidR="00A61E37" w:rsidRDefault="00D3623A">
      <w:pPr>
        <w:pStyle w:val="berschriftVertragsname11Pktzentrfett"/>
        <w:rPr>
          <w:rStyle w:val="Fett"/>
          <w:b/>
          <w:bCs/>
        </w:rPr>
      </w:pPr>
      <w:r>
        <w:rPr>
          <w:rStyle w:val="Fett"/>
          <w:b/>
          <w:bCs/>
        </w:rPr>
        <w:t>12.</w:t>
      </w:r>
      <w:r>
        <w:rPr>
          <w:rStyle w:val="Fett"/>
          <w:b/>
          <w:bCs/>
        </w:rPr>
        <w:t> </w:t>
      </w:r>
      <w:r>
        <w:rPr>
          <w:rStyle w:val="Fett"/>
          <w:b/>
          <w:bCs/>
        </w:rPr>
        <w:t>Allgemeines und Schlussbestimmungen</w:t>
      </w:r>
    </w:p>
    <w:p w14:paraId="204EDB1C" w14:textId="77777777" w:rsidR="00A61E37" w:rsidRDefault="00D3623A">
      <w:pPr>
        <w:pStyle w:val="berschriftZwischenueberschrift-nach-UE"/>
        <w:rPr>
          <w:rStyle w:val="Kursiv"/>
        </w:rPr>
      </w:pPr>
      <w:r>
        <w:rPr>
          <w:rStyle w:val="Kursiv"/>
        </w:rPr>
        <w:t>12.1</w:t>
      </w:r>
    </w:p>
    <w:p w14:paraId="0C387759" w14:textId="77777777" w:rsidR="00A61E37" w:rsidRDefault="00D3623A">
      <w:r>
        <w:t>Soweit in dieser Errichtungserklärung Bestimmungen nicht vorgesehen sind, gelten die Vorschriften des Gesetzes über die Gesellschaften mit beschränkter Haftung in der jeweils geltenden Fassung.</w:t>
      </w:r>
    </w:p>
    <w:p w14:paraId="6D475151" w14:textId="77777777" w:rsidR="00A61E37" w:rsidRDefault="00D3623A">
      <w:pPr>
        <w:pStyle w:val="berschriftZwischenueberschrift"/>
        <w:rPr>
          <w:rStyle w:val="Kursiv"/>
        </w:rPr>
      </w:pPr>
      <w:r>
        <w:rPr>
          <w:rStyle w:val="Kursiv"/>
        </w:rPr>
        <w:t>12.2</w:t>
      </w:r>
    </w:p>
    <w:p w14:paraId="64079546" w14:textId="77777777" w:rsidR="00A61E37" w:rsidRDefault="00D3623A">
      <w:r>
        <w:t>Alle das Gesellschaftsverhältnis betreffenden Vereinbarungen zwischen Gesellschaftern oder zwischen der Gesellschaft und Gesellschaftern bedürfen zu ihrer Wirksamkeit der Schriftform, soweit nicht kraft des Gesetzes eine notarielle Beurkundung vorgeschrieben ist; dies gilt auch für einen etwaigen Verzicht auf das Erfordernis der Schriftform.</w:t>
      </w:r>
    </w:p>
    <w:p w14:paraId="11F67A38" w14:textId="77777777" w:rsidR="00A61E37" w:rsidRDefault="00D3623A">
      <w:pPr>
        <w:pStyle w:val="berschriftZwischenueberschrift"/>
        <w:rPr>
          <w:rStyle w:val="Kursiv"/>
        </w:rPr>
      </w:pPr>
      <w:r>
        <w:rPr>
          <w:rStyle w:val="Kursiv"/>
        </w:rPr>
        <w:t>12.3</w:t>
      </w:r>
    </w:p>
    <w:p w14:paraId="37BB7D60" w14:textId="77777777" w:rsidR="00A61E37" w:rsidRDefault="00D3623A">
      <w:r>
        <w:t>Die Nichtigkeit oder Teilnichtigkeit einer Bestimmung dieser Errichtungserklärung lässt alle übrigen Bestimmungen aufrecht. Die nichtige ist durch eine wirt</w:t>
      </w:r>
      <w:r>
        <w:lastRenderedPageBreak/>
        <w:t>schaftlich gleichwertige oder ähnliche, aber zulässige Bestimmung zu ersetzen.</w:t>
      </w:r>
    </w:p>
    <w:p w14:paraId="2EC5AD35" w14:textId="77777777" w:rsidR="00A61E37" w:rsidRDefault="00D3623A">
      <w:pPr>
        <w:pStyle w:val="berschriftZwischenueberschrift"/>
        <w:rPr>
          <w:rStyle w:val="Kursiv"/>
        </w:rPr>
      </w:pPr>
      <w:r>
        <w:rPr>
          <w:rStyle w:val="Kursiv"/>
        </w:rPr>
        <w:t>12.4</w:t>
      </w:r>
    </w:p>
    <w:p w14:paraId="7092A238" w14:textId="77777777" w:rsidR="00A61E37" w:rsidRDefault="00D3623A">
      <w:r>
        <w:t>Von dieser Errichtungserklärung dürfen Ausfertigungen in beliebiger Zahl an alle Gesellschafter, Geschäftsführer, künftige Liquidatoren sowie an die Gesellschaft selbst jeweils auf Kosten des Verlangenden erteilt werden.</w:t>
      </w:r>
    </w:p>
    <w:p w14:paraId="446621A0" w14:textId="77777777" w:rsidR="00A61E37" w:rsidRDefault="00D3623A">
      <w:pPr>
        <w:pStyle w:val="berschriftZwischenueberschrift"/>
        <w:rPr>
          <w:rStyle w:val="Kursiv"/>
        </w:rPr>
      </w:pPr>
      <w:r>
        <w:rPr>
          <w:rStyle w:val="Kursiv"/>
        </w:rPr>
        <w:t>12.5</w:t>
      </w:r>
    </w:p>
    <w:p w14:paraId="3ADCA786" w14:textId="131BD06B" w:rsidR="00A61E37" w:rsidRDefault="00D3623A" w:rsidP="00AD782A">
      <w:r>
        <w:t>Der Gesellschafter bestätigt, über die Bestimmungen des „Wirtschaftliche Eigentümer Registergesetz“ voll umfänglich aufgeklärt worden sein, insbesondere dass eine Änderung bei den zu meldenden Informationen (zB Gesellschafterwechsel) binnen vier Wochen ab Kenntnis durchzuführen ist und die Daten fortlaufend aktuell zu halten sind. Gemäß § 5 Abs 1 iVm § 3 Abs 3 WiEReG sind die Daten jährlich zu überprüfen und aktiv zu bestätigen (jährliche Meldungsverpflichtung, auch bei unveränderten Daten). Verletzungen der Meldepflicht werden als Finanzvergehen geahndet. Bestraft werden können neben den verantwortlichen Personen (Leitungsorgane) auch die Rechtsträger selbst (Verbandsverantwortlichkeit).</w:t>
      </w:r>
    </w:p>
    <w:p w14:paraId="53C3A86C" w14:textId="2FB78808" w:rsidR="00A7387B" w:rsidRDefault="00A7387B">
      <w:pPr>
        <w:pStyle w:val="Body-oE-12-Abstlinks"/>
        <w:spacing w:before="0"/>
        <w:ind w:right="1701"/>
      </w:pPr>
    </w:p>
    <w:sectPr w:rsidR="00A7387B" w:rsidSect="00076835">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20A2" w14:textId="77777777" w:rsidR="00076835" w:rsidRDefault="00076835">
      <w:pPr>
        <w:spacing w:before="0" w:line="240" w:lineRule="auto"/>
      </w:pPr>
      <w:r>
        <w:separator/>
      </w:r>
    </w:p>
  </w:endnote>
  <w:endnote w:type="continuationSeparator" w:id="0">
    <w:p w14:paraId="7903F185" w14:textId="77777777" w:rsidR="00076835" w:rsidRDefault="000768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1E85" w14:textId="77777777" w:rsidR="00076835" w:rsidRDefault="00076835">
      <w:pPr>
        <w:spacing w:before="0" w:line="240" w:lineRule="auto"/>
      </w:pPr>
      <w:r>
        <w:separator/>
      </w:r>
    </w:p>
  </w:footnote>
  <w:footnote w:type="continuationSeparator" w:id="0">
    <w:p w14:paraId="56C36EC1" w14:textId="77777777" w:rsidR="00076835" w:rsidRDefault="0007683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6835"/>
    <w:rsid w:val="00086BEA"/>
    <w:rsid w:val="000B4907"/>
    <w:rsid w:val="00110230"/>
    <w:rsid w:val="00171B3A"/>
    <w:rsid w:val="001E188D"/>
    <w:rsid w:val="002101CE"/>
    <w:rsid w:val="00227ABA"/>
    <w:rsid w:val="0028704E"/>
    <w:rsid w:val="00292494"/>
    <w:rsid w:val="002B646C"/>
    <w:rsid w:val="002E48B2"/>
    <w:rsid w:val="00425C1A"/>
    <w:rsid w:val="00461DF6"/>
    <w:rsid w:val="00486E00"/>
    <w:rsid w:val="005203B2"/>
    <w:rsid w:val="005369F2"/>
    <w:rsid w:val="005719BA"/>
    <w:rsid w:val="00580262"/>
    <w:rsid w:val="0058676A"/>
    <w:rsid w:val="005E0FC8"/>
    <w:rsid w:val="005F2B2C"/>
    <w:rsid w:val="00665C73"/>
    <w:rsid w:val="006B2368"/>
    <w:rsid w:val="006F7C54"/>
    <w:rsid w:val="00730446"/>
    <w:rsid w:val="0075075E"/>
    <w:rsid w:val="00792AF3"/>
    <w:rsid w:val="00882EC5"/>
    <w:rsid w:val="009120BC"/>
    <w:rsid w:val="009F215D"/>
    <w:rsid w:val="00A4222E"/>
    <w:rsid w:val="00A552BF"/>
    <w:rsid w:val="00A61E37"/>
    <w:rsid w:val="00A7387B"/>
    <w:rsid w:val="00AB66D8"/>
    <w:rsid w:val="00AD782A"/>
    <w:rsid w:val="00B02957"/>
    <w:rsid w:val="00B0392B"/>
    <w:rsid w:val="00B93B99"/>
    <w:rsid w:val="00BF0549"/>
    <w:rsid w:val="00C065C4"/>
    <w:rsid w:val="00CE06E2"/>
    <w:rsid w:val="00CE663D"/>
    <w:rsid w:val="00D17328"/>
    <w:rsid w:val="00D174CE"/>
    <w:rsid w:val="00D3623A"/>
    <w:rsid w:val="00D51CB0"/>
    <w:rsid w:val="00D57FEA"/>
    <w:rsid w:val="00D745CD"/>
    <w:rsid w:val="00E12CB1"/>
    <w:rsid w:val="00E41F0D"/>
    <w:rsid w:val="00EB7DE9"/>
    <w:rsid w:val="00EC1F16"/>
    <w:rsid w:val="00EE5CE1"/>
    <w:rsid w:val="00F24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2250</Words>
  <Characters>14176</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2024-04-04T09:58:00Z</dcterms:created>
  <dcterms:modified xsi:type="dcterms:W3CDTF">2024-04-04T09:58:00Z</dcterms:modified>
</cp:coreProperties>
</file>